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7EF68376"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005F0AD1">
        <w:rPr>
          <w:rFonts w:ascii="Arial" w:hAnsi="Arial" w:cs="Arial"/>
          <w:b/>
          <w:noProof/>
          <w:sz w:val="24"/>
        </w:rPr>
        <w:t>-bis</w:t>
      </w:r>
      <w:r w:rsidRPr="00391B41">
        <w:rPr>
          <w:rFonts w:ascii="Arial" w:hAnsi="Arial" w:cs="Arial"/>
          <w:b/>
          <w:noProof/>
          <w:sz w:val="24"/>
          <w:szCs w:val="24"/>
          <w:lang w:val="en-US"/>
        </w:rPr>
        <w:tab/>
      </w:r>
      <w:r w:rsidR="00012A8F" w:rsidRPr="00012A8F">
        <w:rPr>
          <w:rFonts w:ascii="Arial" w:hAnsi="Arial" w:cs="Arial"/>
          <w:b/>
          <w:noProof/>
          <w:sz w:val="24"/>
          <w:szCs w:val="24"/>
          <w:lang w:val="en-US"/>
        </w:rPr>
        <w:t>R4-1912462</w:t>
      </w:r>
    </w:p>
    <w:p w14:paraId="4AF193F7" w14:textId="5061B77A" w:rsidR="00E5108D" w:rsidRDefault="005F0AD1" w:rsidP="00DB3907">
      <w:pPr>
        <w:tabs>
          <w:tab w:val="left" w:pos="1985"/>
        </w:tabs>
        <w:rPr>
          <w:rFonts w:ascii="Arial" w:hAnsi="Arial"/>
          <w:b/>
          <w:sz w:val="24"/>
          <w:lang w:val="en-US"/>
        </w:rPr>
      </w:pPr>
      <w:r w:rsidRPr="005F0AD1">
        <w:rPr>
          <w:rFonts w:ascii="Arial" w:hAnsi="Arial"/>
          <w:b/>
          <w:bCs/>
          <w:noProof/>
          <w:szCs w:val="16"/>
          <w:lang w:val="en-US"/>
        </w:rPr>
        <w:t>Chongqing , CN</w:t>
      </w:r>
    </w:p>
    <w:p w14:paraId="7270CE4D" w14:textId="318E612E"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75388E">
        <w:rPr>
          <w:rFonts w:ascii="Arial" w:hAnsi="Arial"/>
          <w:sz w:val="24"/>
          <w:lang w:val="en-US"/>
        </w:rPr>
        <w:t>, Ericsson, Nokia</w:t>
      </w:r>
      <w:r w:rsidR="00727860">
        <w:rPr>
          <w:rFonts w:ascii="Arial" w:hAnsi="Arial"/>
          <w:sz w:val="24"/>
          <w:lang w:val="en-US"/>
        </w:rPr>
        <w:t xml:space="preserve">, </w:t>
      </w:r>
      <w:r w:rsidR="00727860" w:rsidRPr="00727860">
        <w:rPr>
          <w:rFonts w:ascii="Arial" w:hAnsi="Arial"/>
          <w:sz w:val="24"/>
          <w:lang w:val="en-US"/>
        </w:rPr>
        <w:t>Nokia Shanghai Bell</w:t>
      </w:r>
      <w:bookmarkStart w:id="0" w:name="_GoBack"/>
      <w:bookmarkEnd w:id="0"/>
    </w:p>
    <w:p w14:paraId="6CA743B3" w14:textId="6763C6D2" w:rsidR="006C4F7C" w:rsidRDefault="00DB3907" w:rsidP="00F16908">
      <w:pPr>
        <w:tabs>
          <w:tab w:val="left" w:pos="1985"/>
        </w:tabs>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16908">
        <w:rPr>
          <w:rFonts w:ascii="Arial" w:hAnsi="Arial"/>
          <w:sz w:val="24"/>
          <w:lang w:val="en-US"/>
        </w:rPr>
        <w:t>Values for Transient period capability</w:t>
      </w:r>
    </w:p>
    <w:p w14:paraId="67DD213C" w14:textId="59E15109"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E934C2">
        <w:rPr>
          <w:rFonts w:ascii="Arial" w:hAnsi="Arial"/>
          <w:sz w:val="24"/>
          <w:lang w:val="en-US"/>
        </w:rPr>
        <w:t>6.5.4.4</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798165EE" w:rsidR="004F1322" w:rsidRPr="00F22934" w:rsidRDefault="00071294" w:rsidP="00F22934">
      <w:pPr>
        <w:rPr>
          <w:lang w:val="en-US"/>
        </w:rPr>
      </w:pPr>
      <w:r>
        <w:rPr>
          <w:lang w:val="en-US"/>
        </w:rPr>
        <w:t>Transient period capability has been discussed widely in RAN4 for the past year. In this paper, we discuss the values a UE could choose to report for its capability</w:t>
      </w:r>
      <w:r w:rsidR="009A525C">
        <w:rPr>
          <w:lang w:val="en-US"/>
        </w:rPr>
        <w:t>. These were also discussed in [1].</w:t>
      </w:r>
      <w:r w:rsidR="00101F28">
        <w:rPr>
          <w:lang w:val="en-US"/>
        </w:rPr>
        <w:t xml:space="preserve"> </w:t>
      </w:r>
    </w:p>
    <w:p w14:paraId="7FC2504A" w14:textId="4DE4D035" w:rsidR="00071294" w:rsidRPr="00071294" w:rsidRDefault="006866E3" w:rsidP="00071294">
      <w:pPr>
        <w:pStyle w:val="Heading1"/>
        <w:rPr>
          <w:lang w:val="en-US"/>
        </w:rPr>
      </w:pPr>
      <w:r w:rsidRPr="00C15C1A">
        <w:rPr>
          <w:lang w:val="en-US"/>
        </w:rPr>
        <w:t>Discussion</w:t>
      </w:r>
    </w:p>
    <w:p w14:paraId="5C8F19F9" w14:textId="7004C552" w:rsidR="00071294" w:rsidRDefault="00071294" w:rsidP="00071294">
      <w:pPr>
        <w:rPr>
          <w:lang w:val="en-US"/>
        </w:rPr>
      </w:pPr>
      <w:r>
        <w:rPr>
          <w:lang w:val="en-US"/>
        </w:rPr>
        <w:t>In the past few meetings, there were different proposals for the values of the capability. In our opinion, a few discrete values need to be selected and it might be reasonable to choose values relative to CP duration.</w:t>
      </w:r>
      <w:r w:rsidR="002D25C0">
        <w:rPr>
          <w:lang w:val="en-US"/>
        </w:rPr>
        <w:t xml:space="preserve"> Alternatively, to save the number of bits for signaling UE could signal its improved capability </w:t>
      </w:r>
      <w:r w:rsidR="005E7ECE">
        <w:rPr>
          <w:lang w:val="en-US"/>
        </w:rPr>
        <w:t xml:space="preserve">of 2 usec or less only. </w:t>
      </w:r>
    </w:p>
    <w:p w14:paraId="78E43F4B" w14:textId="77777777" w:rsidR="00071294" w:rsidRDefault="00071294" w:rsidP="00071294">
      <w:pPr>
        <w:rPr>
          <w:lang w:val="en-US"/>
        </w:rPr>
      </w:pPr>
      <w:r>
        <w:rPr>
          <w:lang w:val="en-US"/>
        </w:rPr>
        <w:t>For FR1, 60 kHz SCS has the smallest CP duration of approximately 1 usec. SCS of 30 kHz and 15 kHz have a CP duration of approximately 2.5 usec and 5 usec respectively.</w:t>
      </w:r>
    </w:p>
    <w:p w14:paraId="675D1847" w14:textId="1273C40E" w:rsidR="00071294" w:rsidRDefault="00071294" w:rsidP="00071294">
      <w:pPr>
        <w:rPr>
          <w:lang w:val="en-US"/>
        </w:rPr>
      </w:pPr>
      <w:r w:rsidRPr="003C77E0">
        <w:rPr>
          <w:b/>
          <w:bCs/>
          <w:lang w:val="en-US"/>
        </w:rPr>
        <w:t xml:space="preserve">Proposal </w:t>
      </w:r>
      <w:r>
        <w:rPr>
          <w:b/>
          <w:bCs/>
          <w:lang w:val="en-US"/>
        </w:rPr>
        <w:t>1</w:t>
      </w:r>
      <w:r>
        <w:rPr>
          <w:lang w:val="en-US"/>
        </w:rPr>
        <w:t xml:space="preserve">: The options for </w:t>
      </w:r>
      <w:r w:rsidR="00E33F92">
        <w:rPr>
          <w:lang w:val="en-US"/>
        </w:rPr>
        <w:t xml:space="preserve">improved </w:t>
      </w:r>
      <w:r>
        <w:rPr>
          <w:lang w:val="en-US"/>
        </w:rPr>
        <w:t>Transient period capability to choose from are: 1 usec, 2 usec</w:t>
      </w:r>
      <w:r w:rsidR="001740BF">
        <w:rPr>
          <w:lang w:val="en-US"/>
        </w:rPr>
        <w:t xml:space="preserve"> or</w:t>
      </w:r>
      <w:r>
        <w:rPr>
          <w:lang w:val="en-US"/>
        </w:rPr>
        <w:t xml:space="preserve"> 4 usec. </w:t>
      </w:r>
    </w:p>
    <w:p w14:paraId="7E3508CD" w14:textId="1CE2BCB1" w:rsidR="005A6ADB" w:rsidRDefault="005A6ADB" w:rsidP="00071294">
      <w:pPr>
        <w:rPr>
          <w:lang w:val="en-US"/>
        </w:rPr>
      </w:pPr>
      <w:r w:rsidRPr="005A6ADB">
        <w:rPr>
          <w:b/>
          <w:bCs/>
          <w:lang w:val="en-US"/>
        </w:rPr>
        <w:t>Alternative Proposal 1</w:t>
      </w:r>
      <w:r>
        <w:rPr>
          <w:lang w:val="en-US"/>
        </w:rPr>
        <w:t>: 2 usec (to reduce the number of bits needed for signaling)</w:t>
      </w:r>
    </w:p>
    <w:p w14:paraId="79795BB1" w14:textId="79CB4A19" w:rsidR="00071294" w:rsidRDefault="00071294" w:rsidP="00071294">
      <w:pPr>
        <w:rPr>
          <w:lang w:val="en-US"/>
        </w:rPr>
      </w:pPr>
      <w:r w:rsidRPr="003C2ED2">
        <w:rPr>
          <w:b/>
          <w:bCs/>
          <w:lang w:val="en-US"/>
        </w:rPr>
        <w:t xml:space="preserve">Proposal </w:t>
      </w:r>
      <w:r>
        <w:rPr>
          <w:b/>
          <w:bCs/>
          <w:lang w:val="en-US"/>
        </w:rPr>
        <w:t>2</w:t>
      </w:r>
      <w:r w:rsidRPr="003C2ED2">
        <w:rPr>
          <w:b/>
          <w:bCs/>
          <w:lang w:val="en-US"/>
        </w:rPr>
        <w:t>:</w:t>
      </w:r>
      <w:r>
        <w:rPr>
          <w:lang w:val="en-US"/>
        </w:rPr>
        <w:t xml:space="preserve"> This capability should be defined per band.</w:t>
      </w:r>
    </w:p>
    <w:p w14:paraId="715D1250" w14:textId="77777777" w:rsidR="00EE2CF3" w:rsidRPr="00EE2CF3" w:rsidRDefault="00EE2CF3" w:rsidP="00EE2CF3">
      <w:pPr>
        <w:rPr>
          <w:lang w:val="en-US"/>
        </w:rPr>
      </w:pPr>
    </w:p>
    <w:p w14:paraId="0E0F4862" w14:textId="1A948B04" w:rsidR="002619C7" w:rsidRDefault="00BF6880" w:rsidP="00F22934">
      <w:pPr>
        <w:pStyle w:val="Heading1"/>
      </w:pPr>
      <w:r>
        <w:t>C</w:t>
      </w:r>
      <w:r w:rsidR="00C762BF">
        <w:t>onclusion</w:t>
      </w:r>
    </w:p>
    <w:p w14:paraId="4FA5C6FC" w14:textId="67F0CC06" w:rsidR="00EE2CF3" w:rsidRPr="00EE2CF3" w:rsidRDefault="00071294" w:rsidP="00EE2CF3">
      <w:r>
        <w:t xml:space="preserve">In this paper, we propose the values for the transient period capability that a UE could use to report in Proposals </w:t>
      </w:r>
      <w:r w:rsidR="00A33E60">
        <w:t>1</w:t>
      </w:r>
      <w:r>
        <w:t xml:space="preserve">. We believe that this value should be band dependent to allow the UE vendors to pick and choose the PAs for each band based on their requirements. </w:t>
      </w:r>
    </w:p>
    <w:p w14:paraId="0ECB10B7" w14:textId="25CF83AC" w:rsidR="00D62CD8" w:rsidRDefault="00D62CD8" w:rsidP="00D62CD8">
      <w:pPr>
        <w:pStyle w:val="Heading1"/>
        <w:jc w:val="both"/>
      </w:pPr>
      <w:r>
        <w:t>References</w:t>
      </w:r>
    </w:p>
    <w:p w14:paraId="24FB13F6" w14:textId="699E5904" w:rsidR="00EE2CF3" w:rsidRPr="00EE2CF3" w:rsidRDefault="009A525C" w:rsidP="00EE2CF3">
      <w:r>
        <w:t xml:space="preserve">[1] </w:t>
      </w:r>
      <w:r w:rsidRPr="009A525C">
        <w:t>R4-1909740</w:t>
      </w:r>
      <w:r>
        <w:t xml:space="preserve">, </w:t>
      </w:r>
      <w:r w:rsidRPr="009A525C">
        <w:t>Transient period capability</w:t>
      </w:r>
      <w:r>
        <w:t xml:space="preserve">, </w:t>
      </w:r>
      <w:r w:rsidRPr="009A525C">
        <w:t>3GPP TSG-RAN4 Meeting #92</w:t>
      </w:r>
      <w:r>
        <w:t xml:space="preserve">, </w:t>
      </w:r>
      <w:r w:rsidRPr="009A525C">
        <w:t>Ljubljana , SI</w:t>
      </w:r>
    </w:p>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111B7" w14:textId="77777777" w:rsidR="00450BCF" w:rsidRDefault="00450BCF">
      <w:r>
        <w:separator/>
      </w:r>
    </w:p>
  </w:endnote>
  <w:endnote w:type="continuationSeparator" w:id="0">
    <w:p w14:paraId="3BCD0CD3" w14:textId="77777777" w:rsidR="00450BCF" w:rsidRDefault="0045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C10EC" w14:textId="77777777" w:rsidR="00450BCF" w:rsidRDefault="00450BCF">
      <w:r>
        <w:separator/>
      </w:r>
    </w:p>
  </w:footnote>
  <w:footnote w:type="continuationSeparator" w:id="0">
    <w:p w14:paraId="3EC2E7A4" w14:textId="77777777" w:rsidR="00450BCF" w:rsidRDefault="00450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A8F"/>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1294"/>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0BF"/>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5C0"/>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0CB"/>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0BCF"/>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BCB"/>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6ADB"/>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E7ECE"/>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28B"/>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86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88E"/>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525C"/>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3E60"/>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2C5B"/>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40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581"/>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7C4"/>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3F92"/>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4C2"/>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908"/>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9E2B7-0D50-4C08-8904-1AFBD4643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15</cp:revision>
  <cp:lastPrinted>2016-03-25T21:53:00Z</cp:lastPrinted>
  <dcterms:created xsi:type="dcterms:W3CDTF">2019-10-01T21:32:00Z</dcterms:created>
  <dcterms:modified xsi:type="dcterms:W3CDTF">2019-10-04T19:49:00Z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